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jc w:val="both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Объекты спорта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495" w:lineRule="auto"/>
        <w:jc w:val="both"/>
        <w:rPr>
          <w:rFonts w:ascii="Georgia" w:cs="Georgia" w:eastAsia="Georgia" w:hAnsi="Georgia"/>
          <w:color w:val="555555"/>
          <w:sz w:val="16"/>
          <w:szCs w:val="16"/>
        </w:rPr>
      </w:pPr>
      <w:r w:rsidDel="00000000" w:rsidR="00000000" w:rsidRPr="00000000">
        <w:rPr>
          <w:rFonts w:ascii="Georgia" w:cs="Georgia" w:eastAsia="Georgia" w:hAnsi="Georgia"/>
          <w:color w:val="555555"/>
          <w:sz w:val="16"/>
          <w:szCs w:val="16"/>
          <w:rtl w:val="0"/>
        </w:rPr>
        <w:t xml:space="preserve">Для обеспечения физической активности детей в помещениях ДОУ музыкальный зал  совмещается со спортивным,  имеется необходимое стандартное физкультурное оборудование: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30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гимнастические лестницы,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скамейки,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маты,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резиновые и надувные мячи,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обручи,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скакалки,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спортивный уголок (шведская стенка, кольца, канат, веревочная лестница)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туннели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дуги для подлезания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гимнастические палки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конусы с отверстиями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495" w:lineRule="auto"/>
        <w:jc w:val="both"/>
        <w:rPr>
          <w:rFonts w:ascii="Georgia" w:cs="Georgia" w:eastAsia="Georgia" w:hAnsi="Georgia"/>
          <w:color w:val="0033ff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Имеется достаточное количество различных атрибутов для проведения корригирующих упражнений для коррекции осанки, плоскостопия: мячи, рукавички, мячи-прыгуны, массажные коврики и дорожки. </w:t>
      </w:r>
      <w:r w:rsidDel="00000000" w:rsidR="00000000" w:rsidRPr="00000000">
        <w:rPr>
          <w:rFonts w:ascii="Georgia" w:cs="Georgia" w:eastAsia="Georgia" w:hAnsi="Georgia"/>
          <w:color w:val="0033ff"/>
          <w:sz w:val="21"/>
          <w:szCs w:val="21"/>
          <w:rtl w:val="0"/>
        </w:rPr>
        <w:t xml:space="preserve">В каждой группе оборудованы спортивные уголки. Для организации работы на свежем воздухе есть спортивная площадка, полоса активного движения.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ind w:left="360"/>
        <w:jc w:val="both"/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color w:val="555555"/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